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sz w:val="76"/>
          <w:szCs w:val="72"/>
        </w:rPr>
        <w:id w:val="21570134"/>
        <w:docPartObj>
          <w:docPartGallery w:val="Cover Pages"/>
          <w:docPartUnique/>
        </w:docPartObj>
      </w:sdtPr>
      <w:sdtEndPr>
        <w:rPr>
          <w:rFonts w:eastAsiaTheme="minorEastAsia"/>
          <w:sz w:val="22"/>
          <w:szCs w:val="22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Layout w:type="fixed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/>
          </w:tblPr>
          <w:tblGrid>
            <w:gridCol w:w="4611"/>
            <w:gridCol w:w="2112"/>
            <w:gridCol w:w="2213"/>
          </w:tblGrid>
          <w:tr w:rsidR="00515522" w:rsidRPr="007921A3" w:rsidTr="00CF414A">
            <w:sdt>
              <w:sdtPr>
                <w:rPr>
                  <w:rFonts w:ascii="Times New Roman" w:eastAsiaTheme="majorEastAsia" w:hAnsi="Times New Roman" w:cs="Times New Roman"/>
                  <w:sz w:val="76"/>
                  <w:szCs w:val="72"/>
                </w:rPr>
                <w:alias w:val="Título"/>
                <w:id w:val="276713177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b/>
                  <w:sz w:val="48"/>
                  <w:szCs w:val="48"/>
                </w:rPr>
              </w:sdtEndPr>
              <w:sdtContent>
                <w:tc>
                  <w:tcPr>
                    <w:tcW w:w="4611" w:type="dxa"/>
                    <w:tcBorders>
                      <w:bottom w:val="single" w:sz="18" w:space="0" w:color="808080" w:themeColor="background1" w:themeShade="80"/>
                      <w:right w:val="single" w:sz="18" w:space="0" w:color="808080" w:themeColor="background1" w:themeShade="80"/>
                    </w:tcBorders>
                    <w:vAlign w:val="center"/>
                  </w:tcPr>
                  <w:p w:rsidR="00515522" w:rsidRPr="007921A3" w:rsidRDefault="00515522" w:rsidP="00CF414A">
                    <w:pPr>
                      <w:pStyle w:val="SemEspaamento"/>
                      <w:rPr>
                        <w:rFonts w:ascii="Times New Roman" w:eastAsiaTheme="majorEastAsia" w:hAnsi="Times New Roman" w:cs="Times New Roman"/>
                        <w:sz w:val="76"/>
                        <w:szCs w:val="72"/>
                      </w:rPr>
                    </w:pPr>
                    <w:r w:rsidRPr="00CF414A">
                      <w:rPr>
                        <w:rFonts w:ascii="Times New Roman" w:eastAsiaTheme="majorEastAsia" w:hAnsi="Times New Roman" w:cs="Times New Roman"/>
                        <w:b/>
                        <w:sz w:val="48"/>
                        <w:szCs w:val="48"/>
                      </w:rPr>
                      <w:t xml:space="preserve">Relatório </w:t>
                    </w:r>
                    <w:r w:rsidR="00E8741E" w:rsidRPr="00CF414A">
                      <w:rPr>
                        <w:rFonts w:ascii="Times New Roman" w:eastAsiaTheme="majorEastAsia" w:hAnsi="Times New Roman" w:cs="Times New Roman"/>
                        <w:b/>
                        <w:sz w:val="48"/>
                        <w:szCs w:val="48"/>
                      </w:rPr>
                      <w:t>Anual</w:t>
                    </w:r>
                    <w:r w:rsidRPr="00CF414A">
                      <w:rPr>
                        <w:rFonts w:ascii="Times New Roman" w:eastAsiaTheme="majorEastAsia" w:hAnsi="Times New Roman" w:cs="Times New Roman"/>
                        <w:b/>
                        <w:sz w:val="48"/>
                        <w:szCs w:val="48"/>
                      </w:rPr>
                      <w:t xml:space="preserve"> d</w:t>
                    </w:r>
                    <w:r w:rsidR="00E8741E" w:rsidRPr="00CF414A">
                      <w:rPr>
                        <w:rFonts w:ascii="Times New Roman" w:eastAsiaTheme="majorEastAsia" w:hAnsi="Times New Roman" w:cs="Times New Roman"/>
                        <w:b/>
                        <w:sz w:val="48"/>
                        <w:szCs w:val="48"/>
                      </w:rPr>
                      <w:t>e</w:t>
                    </w:r>
                    <w:r w:rsidR="00CF414A" w:rsidRPr="00CF414A">
                      <w:rPr>
                        <w:rFonts w:ascii="Times New Roman" w:eastAsiaTheme="majorEastAsia" w:hAnsi="Times New Roman" w:cs="Times New Roman"/>
                        <w:b/>
                        <w:sz w:val="48"/>
                        <w:szCs w:val="48"/>
                      </w:rPr>
                      <w:t xml:space="preserve"> </w:t>
                    </w:r>
                    <w:r w:rsidR="00E8741E" w:rsidRPr="00CF414A">
                      <w:rPr>
                        <w:rFonts w:ascii="Times New Roman" w:eastAsiaTheme="majorEastAsia" w:hAnsi="Times New Roman" w:cs="Times New Roman"/>
                        <w:b/>
                        <w:sz w:val="48"/>
                        <w:szCs w:val="48"/>
                      </w:rPr>
                      <w:t>Remuneração</w:t>
                    </w:r>
                    <w:r w:rsidR="00CF414A" w:rsidRPr="00CF414A">
                      <w:rPr>
                        <w:rFonts w:ascii="Times New Roman" w:eastAsiaTheme="majorEastAsia" w:hAnsi="Times New Roman" w:cs="Times New Roman"/>
                        <w:b/>
                        <w:sz w:val="48"/>
                        <w:szCs w:val="48"/>
                      </w:rPr>
                      <w:t xml:space="preserve"> dos Administradores</w:t>
                    </w:r>
                  </w:p>
                </w:tc>
              </w:sdtContent>
            </w:sdt>
            <w:tc>
              <w:tcPr>
                <w:tcW w:w="4325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515522" w:rsidRPr="007921A3" w:rsidRDefault="00515522" w:rsidP="00E8741E">
                <w:pPr>
                  <w:pStyle w:val="SemEspaamento"/>
                  <w:rPr>
                    <w:rFonts w:ascii="Times New Roman" w:eastAsiaTheme="majorEastAsia" w:hAnsi="Times New Roman" w:cs="Times New Roman"/>
                    <w:b/>
                    <w:sz w:val="36"/>
                    <w:szCs w:val="36"/>
                  </w:rPr>
                </w:pPr>
                <w:r w:rsidRPr="007921A3">
                  <w:rPr>
                    <w:rFonts w:ascii="Times New Roman" w:eastAsiaTheme="majorEastAsia" w:hAnsi="Times New Roman" w:cs="Times New Roman"/>
                    <w:b/>
                    <w:sz w:val="36"/>
                    <w:szCs w:val="36"/>
                  </w:rPr>
                  <w:t>Data Base Dezembro</w:t>
                </w:r>
              </w:p>
              <w:sdt>
                <w:sdtPr>
                  <w:rPr>
                    <w:rFonts w:ascii="Times New Roman" w:hAnsi="Times New Roman" w:cs="Times New Roman"/>
                    <w:color w:val="4F81BD" w:themeColor="accent1"/>
                    <w:sz w:val="144"/>
                    <w:szCs w:val="144"/>
                  </w:rPr>
                  <w:alias w:val="Ano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 w:fullDate="2016-01-01T00:00:00Z">
                    <w:dateFormat w:val="yyyy"/>
                    <w:lid w:val="pt-BR"/>
                    <w:storeMappedDataAs w:val="dateTime"/>
                    <w:calendar w:val="gregorian"/>
                  </w:date>
                </w:sdtPr>
                <w:sdtContent>
                  <w:p w:rsidR="00515522" w:rsidRPr="007921A3" w:rsidRDefault="00625E7A" w:rsidP="00515522">
                    <w:pPr>
                      <w:pStyle w:val="SemEspaamento"/>
                      <w:rPr>
                        <w:rFonts w:ascii="Times New Roman" w:hAnsi="Times New Roman" w:cs="Times New Roman"/>
                        <w:color w:val="4F81BD" w:themeColor="accent1"/>
                        <w:sz w:val="200"/>
                        <w:szCs w:val="200"/>
                      </w:rPr>
                    </w:pPr>
                    <w:r>
                      <w:rPr>
                        <w:rFonts w:ascii="Times New Roman" w:hAnsi="Times New Roman" w:cs="Times New Roman"/>
                        <w:color w:val="4F81BD" w:themeColor="accent1"/>
                        <w:sz w:val="144"/>
                        <w:szCs w:val="144"/>
                      </w:rPr>
                      <w:t>2016</w:t>
                    </w:r>
                  </w:p>
                </w:sdtContent>
              </w:sdt>
            </w:tc>
          </w:tr>
          <w:tr w:rsidR="00A13B32" w:rsidRPr="00222747" w:rsidTr="00421959">
            <w:trPr>
              <w:gridAfter w:val="1"/>
              <w:wAfter w:w="2213" w:type="dxa"/>
            </w:tr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Resumo"/>
                <w:id w:val="27671318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6723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A13B32" w:rsidRPr="00222747" w:rsidRDefault="00A13B32" w:rsidP="00A13B32">
                    <w:pPr>
                      <w:pStyle w:val="SemEspaamen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Agência de Fomento de Alagoas S/A</w:t>
                    </w:r>
                  </w:p>
                </w:tc>
              </w:sdtContent>
            </w:sdt>
          </w:tr>
        </w:tbl>
        <w:p w:rsidR="00515522" w:rsidRPr="007921A3" w:rsidRDefault="00515522">
          <w:pPr>
            <w:rPr>
              <w:rFonts w:ascii="Times New Roman" w:hAnsi="Times New Roman" w:cs="Times New Roman"/>
            </w:rPr>
          </w:pPr>
          <w:r w:rsidRPr="007921A3">
            <w:rPr>
              <w:rFonts w:ascii="Times New Roman" w:hAnsi="Times New Roman" w:cs="Times New Roman"/>
            </w:rPr>
            <w:br w:type="page"/>
          </w:r>
        </w:p>
      </w:sdtContent>
    </w:sdt>
    <w:p w:rsidR="00A85F29" w:rsidRPr="007921A3" w:rsidRDefault="00A85F29">
      <w:pPr>
        <w:pStyle w:val="CabealhodoSumrio"/>
        <w:rPr>
          <w:rFonts w:ascii="Times New Roman" w:hAnsi="Times New Roman" w:cs="Times New Roman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21570387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59562E" w:rsidRPr="007921A3" w:rsidRDefault="00F81599">
          <w:pPr>
            <w:pStyle w:val="CabealhodoSumrio"/>
            <w:rPr>
              <w:rFonts w:ascii="Times New Roman" w:hAnsi="Times New Roman" w:cs="Times New Roman"/>
            </w:rPr>
          </w:pPr>
          <w:r w:rsidRPr="007921A3">
            <w:rPr>
              <w:rFonts w:ascii="Times New Roman" w:hAnsi="Times New Roman" w:cs="Times New Roman"/>
            </w:rPr>
            <w:t>Índice</w:t>
          </w:r>
        </w:p>
        <w:p w:rsidR="005E617D" w:rsidRPr="002B0779" w:rsidRDefault="0053662C">
          <w:pPr>
            <w:pStyle w:val="Sumrio1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B077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9562E" w:rsidRPr="002B077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B077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81280034" w:history="1">
            <w:r w:rsidR="005E617D" w:rsidRPr="002B07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Introdução</w:t>
            </w:r>
            <w:r w:rsidR="005E617D" w:rsidRPr="002B07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B07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E617D" w:rsidRPr="002B07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_Toc381280034 \h </w:instrText>
            </w:r>
            <w:r w:rsidRPr="002B07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B07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0F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2B07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E617D" w:rsidRPr="002B0779" w:rsidRDefault="0053662C">
          <w:pPr>
            <w:pStyle w:val="Sumrio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81280035" w:history="1">
            <w:r w:rsidR="005E617D" w:rsidRPr="002B07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Obrigatoriedade de comitê de remuneração</w:t>
            </w:r>
            <w:r w:rsidR="005E617D" w:rsidRPr="002B07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B07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E617D" w:rsidRPr="002B07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_Toc381280035 \h </w:instrText>
            </w:r>
            <w:r w:rsidRPr="002B07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B07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0F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2B07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E617D" w:rsidRPr="002B0779" w:rsidRDefault="0053662C">
          <w:pPr>
            <w:pStyle w:val="Sumrio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81280036" w:history="1">
            <w:r w:rsidR="005E617D" w:rsidRPr="002B07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Processo de elaboração do sistema e da política de remuneração</w:t>
            </w:r>
            <w:r w:rsidR="005E617D" w:rsidRPr="002B07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B07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E617D" w:rsidRPr="002B07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_Toc381280036 \h </w:instrText>
            </w:r>
            <w:r w:rsidRPr="002B07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B07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0F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2B07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E617D" w:rsidRPr="002B0779" w:rsidRDefault="0053662C">
          <w:pPr>
            <w:pStyle w:val="Sumrio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81280037" w:history="1">
            <w:r w:rsidR="005E617D" w:rsidRPr="002B07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Principais características da política de remuneração e outras formas de remuneração</w:t>
            </w:r>
            <w:r w:rsidR="005E617D" w:rsidRPr="002B07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B07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E617D" w:rsidRPr="002B07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_Toc381280037 \h </w:instrText>
            </w:r>
            <w:r w:rsidRPr="002B07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B07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0F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B07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E617D" w:rsidRPr="002B0779" w:rsidRDefault="0053662C">
          <w:pPr>
            <w:pStyle w:val="Sumrio2"/>
            <w:tabs>
              <w:tab w:val="right" w:leader="dot" w:pos="84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81280038" w:history="1">
            <w:r w:rsidR="005E617D" w:rsidRPr="002B07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Remuneração variável</w:t>
            </w:r>
            <w:r w:rsidR="005E617D" w:rsidRPr="002B07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B07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E617D" w:rsidRPr="002B07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_Toc381280038 \h </w:instrText>
            </w:r>
            <w:r w:rsidRPr="002B07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B07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0F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B07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E617D" w:rsidRPr="002B0779" w:rsidRDefault="0053662C">
          <w:pPr>
            <w:pStyle w:val="Sumrio2"/>
            <w:tabs>
              <w:tab w:val="right" w:leader="dot" w:pos="84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81280039" w:history="1">
            <w:r w:rsidR="005E617D" w:rsidRPr="002B07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Remuneração fixa</w:t>
            </w:r>
            <w:r w:rsidR="005E617D" w:rsidRPr="002B07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B07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E617D" w:rsidRPr="002B07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_Toc381280039 \h </w:instrText>
            </w:r>
            <w:r w:rsidRPr="002B07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B07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0F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B07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E617D" w:rsidRPr="002B0779" w:rsidRDefault="0053662C">
          <w:pPr>
            <w:pStyle w:val="Sumrio2"/>
            <w:tabs>
              <w:tab w:val="right" w:leader="dot" w:pos="84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81280040" w:history="1">
            <w:r w:rsidR="005E617D" w:rsidRPr="002B07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Benefícios</w:t>
            </w:r>
            <w:r w:rsidR="005E617D" w:rsidRPr="002B07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B07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E617D" w:rsidRPr="002B07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_Toc381280040 \h </w:instrText>
            </w:r>
            <w:r w:rsidRPr="002B07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B07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0F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B07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E617D" w:rsidRPr="002B0779" w:rsidRDefault="0053662C">
          <w:pPr>
            <w:pStyle w:val="Sumrio2"/>
            <w:tabs>
              <w:tab w:val="right" w:leader="dot" w:pos="84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81280041" w:history="1">
            <w:r w:rsidR="005E617D" w:rsidRPr="002B077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Diárias, passagens e demais reembolsos</w:t>
            </w:r>
            <w:r w:rsidR="005E617D" w:rsidRPr="002B07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B07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E617D" w:rsidRPr="002B07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_Toc381280041 \h </w:instrText>
            </w:r>
            <w:r w:rsidRPr="002B07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B07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0F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2B07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562E" w:rsidRPr="007921A3" w:rsidRDefault="0053662C">
          <w:pPr>
            <w:rPr>
              <w:rFonts w:ascii="Times New Roman" w:hAnsi="Times New Roman" w:cs="Times New Roman"/>
            </w:rPr>
          </w:pPr>
          <w:r w:rsidRPr="002B077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A85F29" w:rsidRPr="007921A3" w:rsidRDefault="00A85F29" w:rsidP="00A85F29">
      <w:pPr>
        <w:rPr>
          <w:rFonts w:ascii="Times New Roman" w:hAnsi="Times New Roman" w:cs="Times New Roman"/>
        </w:rPr>
      </w:pPr>
    </w:p>
    <w:p w:rsidR="00A85F29" w:rsidRPr="007921A3" w:rsidRDefault="00A85F29" w:rsidP="00A85F29">
      <w:pPr>
        <w:rPr>
          <w:rFonts w:ascii="Times New Roman" w:hAnsi="Times New Roman" w:cs="Times New Roman"/>
        </w:rPr>
      </w:pPr>
    </w:p>
    <w:p w:rsidR="00A85F29" w:rsidRPr="007921A3" w:rsidRDefault="00A85F29" w:rsidP="00A85F29">
      <w:pPr>
        <w:rPr>
          <w:rFonts w:ascii="Times New Roman" w:hAnsi="Times New Roman" w:cs="Times New Roman"/>
        </w:rPr>
      </w:pPr>
    </w:p>
    <w:p w:rsidR="00A85F29" w:rsidRPr="007921A3" w:rsidRDefault="00A85F29" w:rsidP="00A85F29">
      <w:pPr>
        <w:rPr>
          <w:rFonts w:ascii="Times New Roman" w:hAnsi="Times New Roman" w:cs="Times New Roman"/>
        </w:rPr>
      </w:pPr>
    </w:p>
    <w:p w:rsidR="00A85F29" w:rsidRPr="007921A3" w:rsidRDefault="00A85F29" w:rsidP="00A85F29">
      <w:pPr>
        <w:rPr>
          <w:rFonts w:ascii="Times New Roman" w:hAnsi="Times New Roman" w:cs="Times New Roman"/>
        </w:rPr>
      </w:pPr>
    </w:p>
    <w:p w:rsidR="00A85F29" w:rsidRDefault="00A85F29" w:rsidP="00A85F29">
      <w:pPr>
        <w:rPr>
          <w:rFonts w:ascii="Times New Roman" w:hAnsi="Times New Roman" w:cs="Times New Roman"/>
        </w:rPr>
      </w:pPr>
    </w:p>
    <w:p w:rsidR="005E617D" w:rsidRDefault="005E617D" w:rsidP="00A85F29">
      <w:pPr>
        <w:rPr>
          <w:rFonts w:ascii="Times New Roman" w:hAnsi="Times New Roman" w:cs="Times New Roman"/>
        </w:rPr>
      </w:pPr>
    </w:p>
    <w:p w:rsidR="005E617D" w:rsidRDefault="005E617D" w:rsidP="00A85F29">
      <w:pPr>
        <w:rPr>
          <w:rFonts w:ascii="Times New Roman" w:hAnsi="Times New Roman" w:cs="Times New Roman"/>
        </w:rPr>
      </w:pPr>
    </w:p>
    <w:p w:rsidR="005E617D" w:rsidRPr="007921A3" w:rsidRDefault="005E617D" w:rsidP="00A85F29">
      <w:pPr>
        <w:rPr>
          <w:rFonts w:ascii="Times New Roman" w:hAnsi="Times New Roman" w:cs="Times New Roman"/>
        </w:rPr>
      </w:pPr>
    </w:p>
    <w:p w:rsidR="00A85F29" w:rsidRPr="007921A3" w:rsidRDefault="00A85F29" w:rsidP="00A85F29">
      <w:pPr>
        <w:rPr>
          <w:rFonts w:ascii="Times New Roman" w:hAnsi="Times New Roman" w:cs="Times New Roman"/>
        </w:rPr>
      </w:pPr>
    </w:p>
    <w:p w:rsidR="00A85F29" w:rsidRPr="007921A3" w:rsidRDefault="00A85F29" w:rsidP="00A85F29">
      <w:pPr>
        <w:rPr>
          <w:rFonts w:ascii="Times New Roman" w:hAnsi="Times New Roman" w:cs="Times New Roman"/>
        </w:rPr>
      </w:pPr>
    </w:p>
    <w:p w:rsidR="00A85F29" w:rsidRDefault="00A85F29" w:rsidP="00A85F29">
      <w:pPr>
        <w:rPr>
          <w:rFonts w:ascii="Times New Roman" w:hAnsi="Times New Roman" w:cs="Times New Roman"/>
        </w:rPr>
      </w:pPr>
    </w:p>
    <w:p w:rsidR="00FF044D" w:rsidRDefault="00FF044D" w:rsidP="00A85F29">
      <w:pPr>
        <w:rPr>
          <w:rFonts w:ascii="Times New Roman" w:hAnsi="Times New Roman" w:cs="Times New Roman"/>
        </w:rPr>
      </w:pPr>
    </w:p>
    <w:p w:rsidR="00FF044D" w:rsidRDefault="00FF044D" w:rsidP="00A85F29">
      <w:pPr>
        <w:rPr>
          <w:rFonts w:ascii="Times New Roman" w:hAnsi="Times New Roman" w:cs="Times New Roman"/>
        </w:rPr>
      </w:pPr>
    </w:p>
    <w:p w:rsidR="00FF044D" w:rsidRPr="007921A3" w:rsidRDefault="00FF044D" w:rsidP="00A85F29">
      <w:pPr>
        <w:rPr>
          <w:rFonts w:ascii="Times New Roman" w:hAnsi="Times New Roman" w:cs="Times New Roman"/>
        </w:rPr>
      </w:pPr>
    </w:p>
    <w:p w:rsidR="0059562E" w:rsidRPr="007921A3" w:rsidRDefault="0059562E" w:rsidP="00A15688">
      <w:pPr>
        <w:pStyle w:val="Ttulo1"/>
        <w:spacing w:line="360" w:lineRule="auto"/>
        <w:jc w:val="both"/>
        <w:rPr>
          <w:rFonts w:ascii="Times New Roman" w:hAnsi="Times New Roman" w:cs="Times New Roman"/>
        </w:rPr>
      </w:pPr>
      <w:bookmarkStart w:id="0" w:name="_Toc381280034"/>
      <w:r w:rsidRPr="007921A3">
        <w:rPr>
          <w:rFonts w:ascii="Times New Roman" w:hAnsi="Times New Roman" w:cs="Times New Roman"/>
        </w:rPr>
        <w:lastRenderedPageBreak/>
        <w:t>Introdução</w:t>
      </w:r>
      <w:bookmarkEnd w:id="0"/>
    </w:p>
    <w:p w:rsidR="007921A3" w:rsidRPr="007921A3" w:rsidRDefault="007921A3" w:rsidP="00A156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1A3">
        <w:rPr>
          <w:rFonts w:ascii="Times New Roman" w:hAnsi="Times New Roman" w:cs="Times New Roman"/>
          <w:sz w:val="24"/>
          <w:szCs w:val="24"/>
        </w:rPr>
        <w:t xml:space="preserve">Desde o dia </w:t>
      </w:r>
      <w:r w:rsidR="000A0BA3">
        <w:rPr>
          <w:rFonts w:ascii="Times New Roman" w:hAnsi="Times New Roman" w:cs="Times New Roman"/>
          <w:sz w:val="24"/>
          <w:szCs w:val="24"/>
        </w:rPr>
        <w:t>25</w:t>
      </w:r>
      <w:r w:rsidRPr="007921A3">
        <w:rPr>
          <w:rFonts w:ascii="Times New Roman" w:hAnsi="Times New Roman" w:cs="Times New Roman"/>
          <w:sz w:val="24"/>
          <w:szCs w:val="24"/>
        </w:rPr>
        <w:t xml:space="preserve"> de </w:t>
      </w:r>
      <w:r w:rsidR="000A0BA3">
        <w:rPr>
          <w:rFonts w:ascii="Times New Roman" w:hAnsi="Times New Roman" w:cs="Times New Roman"/>
          <w:sz w:val="24"/>
          <w:szCs w:val="24"/>
        </w:rPr>
        <w:t xml:space="preserve">novembro </w:t>
      </w:r>
      <w:r w:rsidRPr="007921A3">
        <w:rPr>
          <w:rFonts w:ascii="Times New Roman" w:hAnsi="Times New Roman" w:cs="Times New Roman"/>
          <w:sz w:val="24"/>
          <w:szCs w:val="24"/>
        </w:rPr>
        <w:t>de 201</w:t>
      </w:r>
      <w:r w:rsidR="000A0BA3">
        <w:rPr>
          <w:rFonts w:ascii="Times New Roman" w:hAnsi="Times New Roman" w:cs="Times New Roman"/>
          <w:sz w:val="24"/>
          <w:szCs w:val="24"/>
        </w:rPr>
        <w:t>0</w:t>
      </w:r>
      <w:r w:rsidRPr="007921A3">
        <w:rPr>
          <w:rFonts w:ascii="Times New Roman" w:hAnsi="Times New Roman" w:cs="Times New Roman"/>
          <w:sz w:val="24"/>
          <w:szCs w:val="24"/>
        </w:rPr>
        <w:t xml:space="preserve">, está vigente a Resolução do </w:t>
      </w:r>
      <w:r>
        <w:rPr>
          <w:rFonts w:ascii="Times New Roman" w:hAnsi="Times New Roman" w:cs="Times New Roman"/>
          <w:sz w:val="24"/>
          <w:szCs w:val="24"/>
        </w:rPr>
        <w:t xml:space="preserve">Conselho Monetário Nacional nº </w:t>
      </w:r>
      <w:r w:rsidR="000A0BA3">
        <w:rPr>
          <w:rFonts w:ascii="Times New Roman" w:hAnsi="Times New Roman" w:cs="Times New Roman"/>
          <w:sz w:val="24"/>
          <w:szCs w:val="24"/>
        </w:rPr>
        <w:t>3.921</w:t>
      </w:r>
      <w:r w:rsidRPr="007921A3">
        <w:rPr>
          <w:rFonts w:ascii="Times New Roman" w:hAnsi="Times New Roman" w:cs="Times New Roman"/>
          <w:sz w:val="24"/>
          <w:szCs w:val="24"/>
        </w:rPr>
        <w:t>,</w:t>
      </w:r>
      <w:r w:rsidR="000A0BA3">
        <w:rPr>
          <w:rFonts w:ascii="Times New Roman" w:hAnsi="Times New Roman" w:cs="Times New Roman"/>
          <w:sz w:val="24"/>
          <w:szCs w:val="24"/>
        </w:rPr>
        <w:t xml:space="preserve"> produzindo efeitos a partir de 1º de janeiro de 2012, onde </w:t>
      </w:r>
      <w:r>
        <w:rPr>
          <w:rFonts w:ascii="Times New Roman" w:hAnsi="Times New Roman" w:cs="Times New Roman"/>
          <w:sz w:val="24"/>
          <w:szCs w:val="24"/>
        </w:rPr>
        <w:t xml:space="preserve">dispõe sobre a política de remuneração de administradores das instituições financeiras, </w:t>
      </w:r>
      <w:r w:rsidR="00CF414A">
        <w:rPr>
          <w:rFonts w:ascii="Times New Roman" w:hAnsi="Times New Roman" w:cs="Times New Roman"/>
          <w:sz w:val="24"/>
          <w:szCs w:val="24"/>
        </w:rPr>
        <w:t xml:space="preserve">definindo </w:t>
      </w:r>
      <w:r>
        <w:rPr>
          <w:rFonts w:ascii="Times New Roman" w:hAnsi="Times New Roman" w:cs="Times New Roman"/>
          <w:sz w:val="24"/>
          <w:szCs w:val="24"/>
        </w:rPr>
        <w:t>os administradores como os diretores estatutários e os membros do conselho de administração das sociedades anônimas</w:t>
      </w:r>
      <w:r w:rsidRPr="007921A3">
        <w:rPr>
          <w:rFonts w:ascii="Times New Roman" w:hAnsi="Times New Roman" w:cs="Times New Roman"/>
          <w:sz w:val="24"/>
          <w:szCs w:val="24"/>
        </w:rPr>
        <w:t>.</w:t>
      </w:r>
    </w:p>
    <w:p w:rsidR="00A15688" w:rsidRDefault="007921A3" w:rsidP="00A156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1A3">
        <w:rPr>
          <w:rFonts w:ascii="Times New Roman" w:hAnsi="Times New Roman" w:cs="Times New Roman"/>
          <w:sz w:val="24"/>
          <w:szCs w:val="24"/>
        </w:rPr>
        <w:t xml:space="preserve">Visando </w:t>
      </w:r>
      <w:r w:rsidR="00D14F17">
        <w:rPr>
          <w:rFonts w:ascii="Times New Roman" w:hAnsi="Times New Roman" w:cs="Times New Roman"/>
          <w:sz w:val="24"/>
          <w:szCs w:val="24"/>
        </w:rPr>
        <w:t xml:space="preserve">a boa governança e para </w:t>
      </w:r>
      <w:r>
        <w:rPr>
          <w:rFonts w:ascii="Times New Roman" w:hAnsi="Times New Roman" w:cs="Times New Roman"/>
          <w:sz w:val="24"/>
          <w:szCs w:val="24"/>
        </w:rPr>
        <w:t>atender</w:t>
      </w:r>
      <w:r w:rsidRPr="007921A3">
        <w:rPr>
          <w:rFonts w:ascii="Times New Roman" w:hAnsi="Times New Roman" w:cs="Times New Roman"/>
          <w:sz w:val="24"/>
          <w:szCs w:val="24"/>
        </w:rPr>
        <w:t xml:space="preserve"> à referida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921A3">
        <w:rPr>
          <w:rFonts w:ascii="Times New Roman" w:hAnsi="Times New Roman" w:cs="Times New Roman"/>
          <w:sz w:val="24"/>
          <w:szCs w:val="24"/>
        </w:rPr>
        <w:t>esoluçã</w:t>
      </w:r>
      <w:r>
        <w:rPr>
          <w:rFonts w:ascii="Times New Roman" w:hAnsi="Times New Roman" w:cs="Times New Roman"/>
          <w:sz w:val="24"/>
          <w:szCs w:val="24"/>
        </w:rPr>
        <w:t>o, a Agência</w:t>
      </w:r>
      <w:r w:rsidRPr="007921A3">
        <w:rPr>
          <w:rFonts w:ascii="Times New Roman" w:hAnsi="Times New Roman" w:cs="Times New Roman"/>
          <w:sz w:val="24"/>
          <w:szCs w:val="24"/>
        </w:rPr>
        <w:t xml:space="preserve"> aprovou em </w:t>
      </w:r>
      <w:r>
        <w:rPr>
          <w:rFonts w:ascii="Times New Roman" w:hAnsi="Times New Roman" w:cs="Times New Roman"/>
          <w:sz w:val="24"/>
          <w:szCs w:val="24"/>
        </w:rPr>
        <w:t>reunião do Conselho de Administração</w:t>
      </w:r>
      <w:r w:rsidRPr="007921A3">
        <w:rPr>
          <w:rFonts w:ascii="Times New Roman" w:hAnsi="Times New Roman" w:cs="Times New Roman"/>
          <w:sz w:val="24"/>
          <w:szCs w:val="24"/>
        </w:rPr>
        <w:t xml:space="preserve">, realizada em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921A3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agosto </w:t>
      </w:r>
      <w:r w:rsidRPr="007921A3">
        <w:rPr>
          <w:rFonts w:ascii="Times New Roman" w:hAnsi="Times New Roman" w:cs="Times New Roman"/>
          <w:sz w:val="24"/>
          <w:szCs w:val="24"/>
        </w:rPr>
        <w:t>de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21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Política de Remuneração dos Administradores</w:t>
      </w:r>
      <w:r w:rsidR="00A15688">
        <w:rPr>
          <w:rFonts w:ascii="Times New Roman" w:hAnsi="Times New Roman" w:cs="Times New Roman"/>
          <w:sz w:val="24"/>
          <w:szCs w:val="24"/>
        </w:rPr>
        <w:t>.</w:t>
      </w:r>
    </w:p>
    <w:p w:rsidR="0059562E" w:rsidRPr="007921A3" w:rsidRDefault="006D5BE4" w:rsidP="00A156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</w:t>
      </w:r>
      <w:r w:rsidR="00A15688">
        <w:rPr>
          <w:rFonts w:ascii="Times New Roman" w:hAnsi="Times New Roman" w:cs="Times New Roman"/>
          <w:sz w:val="24"/>
          <w:szCs w:val="24"/>
        </w:rPr>
        <w:t xml:space="preserve">realizada </w:t>
      </w:r>
      <w:r w:rsidR="007921A3" w:rsidRPr="007921A3">
        <w:rPr>
          <w:rFonts w:ascii="Times New Roman" w:hAnsi="Times New Roman" w:cs="Times New Roman"/>
          <w:sz w:val="24"/>
          <w:szCs w:val="24"/>
        </w:rPr>
        <w:t xml:space="preserve">revisão anual da política de remuneração de administradores da </w:t>
      </w:r>
      <w:r w:rsidR="00A15688">
        <w:rPr>
          <w:rFonts w:ascii="Times New Roman" w:hAnsi="Times New Roman" w:cs="Times New Roman"/>
          <w:sz w:val="24"/>
          <w:szCs w:val="24"/>
        </w:rPr>
        <w:t>Agência</w:t>
      </w:r>
      <w:r w:rsidR="007921A3" w:rsidRPr="007921A3">
        <w:rPr>
          <w:rFonts w:ascii="Times New Roman" w:hAnsi="Times New Roman" w:cs="Times New Roman"/>
          <w:sz w:val="24"/>
          <w:szCs w:val="24"/>
        </w:rPr>
        <w:t>, recomendando ao Conselho de Administraçã</w:t>
      </w:r>
      <w:r w:rsidR="00A15688">
        <w:rPr>
          <w:rFonts w:ascii="Times New Roman" w:hAnsi="Times New Roman" w:cs="Times New Roman"/>
          <w:sz w:val="24"/>
          <w:szCs w:val="24"/>
        </w:rPr>
        <w:t>o sua correção ou aprimoramento</w:t>
      </w:r>
      <w:r w:rsidR="003F46D7" w:rsidRPr="007921A3">
        <w:rPr>
          <w:rFonts w:ascii="Times New Roman" w:hAnsi="Times New Roman" w:cs="Times New Roman"/>
          <w:sz w:val="24"/>
          <w:szCs w:val="24"/>
        </w:rPr>
        <w:t>.</w:t>
      </w:r>
    </w:p>
    <w:p w:rsidR="003F46D7" w:rsidRPr="007921A3" w:rsidRDefault="00A15688" w:rsidP="00A15688">
      <w:pPr>
        <w:pStyle w:val="Ttulo1"/>
        <w:spacing w:line="360" w:lineRule="auto"/>
        <w:jc w:val="both"/>
        <w:rPr>
          <w:rFonts w:ascii="Times New Roman" w:hAnsi="Times New Roman" w:cs="Times New Roman"/>
        </w:rPr>
      </w:pPr>
      <w:bookmarkStart w:id="1" w:name="_Toc381280035"/>
      <w:r>
        <w:rPr>
          <w:rFonts w:ascii="Times New Roman" w:hAnsi="Times New Roman" w:cs="Times New Roman"/>
        </w:rPr>
        <w:t>Obrigatoriedade</w:t>
      </w:r>
      <w:r w:rsidR="000A0BA3">
        <w:rPr>
          <w:rFonts w:ascii="Times New Roman" w:hAnsi="Times New Roman" w:cs="Times New Roman"/>
        </w:rPr>
        <w:t xml:space="preserve"> de comitê de remuneração</w:t>
      </w:r>
      <w:bookmarkEnd w:id="1"/>
    </w:p>
    <w:p w:rsidR="00CF414A" w:rsidRDefault="00CF414A" w:rsidP="00CF41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</w:t>
      </w:r>
      <w:r w:rsidR="00A15688">
        <w:rPr>
          <w:rFonts w:ascii="Times New Roman" w:hAnsi="Times New Roman" w:cs="Times New Roman"/>
          <w:sz w:val="24"/>
          <w:szCs w:val="24"/>
        </w:rPr>
        <w:t>a Agência de Fomento de Alagoas S/A, atua sobre forma de companhia fechada e não é obrigada a constituir comitê de auditoria nos termos da regulamentação vigente,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D02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de acordo com o artigo 11 da resolução CMN 3.921/2010, </w:t>
      </w:r>
      <w:r w:rsidR="00A15688">
        <w:rPr>
          <w:rFonts w:ascii="Times New Roman" w:hAnsi="Times New Roman" w:cs="Times New Roman"/>
          <w:sz w:val="24"/>
          <w:szCs w:val="24"/>
        </w:rPr>
        <w:t>somos DISPENSADOS de instituir componente organizacional denominado comitê de remuneração</w:t>
      </w:r>
      <w:r w:rsidR="003F46D7" w:rsidRPr="00A15688">
        <w:rPr>
          <w:rFonts w:ascii="Times New Roman" w:hAnsi="Times New Roman" w:cs="Times New Roman"/>
          <w:sz w:val="24"/>
          <w:szCs w:val="24"/>
        </w:rPr>
        <w:t>.</w:t>
      </w:r>
    </w:p>
    <w:p w:rsidR="002C3CB3" w:rsidRPr="00CF414A" w:rsidRDefault="00084B82" w:rsidP="00CF414A">
      <w:pPr>
        <w:pStyle w:val="Ttulo1"/>
        <w:spacing w:line="360" w:lineRule="auto"/>
        <w:rPr>
          <w:rFonts w:ascii="Times New Roman" w:hAnsi="Times New Roman" w:cs="Times New Roman"/>
        </w:rPr>
      </w:pPr>
      <w:bookmarkStart w:id="2" w:name="_Toc381280036"/>
      <w:r>
        <w:rPr>
          <w:rFonts w:ascii="Times New Roman" w:hAnsi="Times New Roman" w:cs="Times New Roman"/>
        </w:rPr>
        <w:t>P</w:t>
      </w:r>
      <w:r w:rsidR="00CF414A">
        <w:rPr>
          <w:rFonts w:ascii="Times New Roman" w:hAnsi="Times New Roman" w:cs="Times New Roman"/>
        </w:rPr>
        <w:t>rocesso</w:t>
      </w:r>
      <w:r>
        <w:rPr>
          <w:rFonts w:ascii="Times New Roman" w:hAnsi="Times New Roman" w:cs="Times New Roman"/>
        </w:rPr>
        <w:t xml:space="preserve"> de elaboração do sistema e da política de remuneração</w:t>
      </w:r>
      <w:bookmarkEnd w:id="2"/>
    </w:p>
    <w:p w:rsidR="002C3CB3" w:rsidRDefault="00CF414A" w:rsidP="00CF41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processo de decisão adotado para estabelecer a política de remuneração</w:t>
      </w:r>
      <w:r w:rsidR="00595D02">
        <w:rPr>
          <w:rFonts w:ascii="Times New Roman" w:hAnsi="Times New Roman" w:cs="Times New Roman"/>
          <w:sz w:val="24"/>
          <w:szCs w:val="24"/>
        </w:rPr>
        <w:t xml:space="preserve"> elaborada pelo Gerente de Compliance, verificada pela Assessora de Recursos Humanos e pelo Gerente de Operações, </w:t>
      </w:r>
      <w:r w:rsidR="000A0BA3">
        <w:rPr>
          <w:rFonts w:ascii="Times New Roman" w:hAnsi="Times New Roman" w:cs="Times New Roman"/>
          <w:sz w:val="24"/>
          <w:szCs w:val="24"/>
        </w:rPr>
        <w:t>sendo</w:t>
      </w:r>
      <w:r>
        <w:rPr>
          <w:rFonts w:ascii="Times New Roman" w:hAnsi="Times New Roman" w:cs="Times New Roman"/>
          <w:sz w:val="24"/>
          <w:szCs w:val="24"/>
        </w:rPr>
        <w:t xml:space="preserve"> aprovad</w:t>
      </w:r>
      <w:r w:rsidR="00595D0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pelo Conse</w:t>
      </w:r>
      <w:r w:rsidR="00595D02">
        <w:rPr>
          <w:rFonts w:ascii="Times New Roman" w:hAnsi="Times New Roman" w:cs="Times New Roman"/>
          <w:sz w:val="24"/>
          <w:szCs w:val="24"/>
        </w:rPr>
        <w:t xml:space="preserve">lho de Administração da Agência, </w:t>
      </w:r>
      <w:r>
        <w:rPr>
          <w:rFonts w:ascii="Times New Roman" w:hAnsi="Times New Roman" w:cs="Times New Roman"/>
          <w:sz w:val="24"/>
          <w:szCs w:val="24"/>
        </w:rPr>
        <w:t>consid</w:t>
      </w:r>
      <w:r w:rsidR="000A0BA3">
        <w:rPr>
          <w:rFonts w:ascii="Times New Roman" w:hAnsi="Times New Roman" w:cs="Times New Roman"/>
          <w:sz w:val="24"/>
          <w:szCs w:val="24"/>
        </w:rPr>
        <w:t>erando</w:t>
      </w:r>
      <w:r>
        <w:rPr>
          <w:rFonts w:ascii="Times New Roman" w:hAnsi="Times New Roman" w:cs="Times New Roman"/>
          <w:sz w:val="24"/>
          <w:szCs w:val="24"/>
        </w:rPr>
        <w:t xml:space="preserve"> a compatibilidade com a política de gestão de riscos e foi formulada de modo a não incentivar comportamentos que elevem a exposição ao risco acima dos níveis considerados prudentes nas estratégias de curto, médio e longo prazos adotadas </w:t>
      </w:r>
      <w:r w:rsidR="00595D02">
        <w:rPr>
          <w:rFonts w:ascii="Times New Roman" w:hAnsi="Times New Roman" w:cs="Times New Roman"/>
          <w:sz w:val="24"/>
          <w:szCs w:val="24"/>
        </w:rPr>
        <w:t>pela Agência</w:t>
      </w:r>
      <w:r w:rsidR="002C3CB3" w:rsidRPr="00CF414A">
        <w:rPr>
          <w:rFonts w:ascii="Times New Roman" w:hAnsi="Times New Roman" w:cs="Times New Roman"/>
          <w:sz w:val="24"/>
          <w:szCs w:val="24"/>
        </w:rPr>
        <w:t>.</w:t>
      </w:r>
    </w:p>
    <w:p w:rsidR="000A0BA3" w:rsidRPr="000A0BA3" w:rsidRDefault="000A0BA3" w:rsidP="001B044A">
      <w:pPr>
        <w:pStyle w:val="Ttulo1"/>
        <w:spacing w:line="360" w:lineRule="auto"/>
        <w:jc w:val="both"/>
        <w:rPr>
          <w:rFonts w:ascii="Times New Roman" w:hAnsi="Times New Roman" w:cs="Times New Roman"/>
        </w:rPr>
      </w:pPr>
      <w:bookmarkStart w:id="3" w:name="_Toc381280037"/>
      <w:r w:rsidRPr="000A0BA3">
        <w:rPr>
          <w:rFonts w:ascii="Times New Roman" w:hAnsi="Times New Roman" w:cs="Times New Roman"/>
        </w:rPr>
        <w:t>Principais características da política de remuneração e outras formas de remuneração</w:t>
      </w:r>
      <w:bookmarkEnd w:id="3"/>
    </w:p>
    <w:p w:rsidR="001B044A" w:rsidRPr="001B044A" w:rsidRDefault="001B044A" w:rsidP="001B044A">
      <w:pPr>
        <w:pStyle w:val="Ttulo2"/>
        <w:spacing w:line="360" w:lineRule="auto"/>
        <w:jc w:val="both"/>
        <w:rPr>
          <w:rFonts w:ascii="Times New Roman" w:hAnsi="Times New Roman" w:cs="Times New Roman"/>
        </w:rPr>
      </w:pPr>
      <w:bookmarkStart w:id="4" w:name="_Toc381280038"/>
      <w:r w:rsidRPr="001B044A">
        <w:rPr>
          <w:rFonts w:ascii="Times New Roman" w:hAnsi="Times New Roman" w:cs="Times New Roman"/>
        </w:rPr>
        <w:t>Remuneração variável</w:t>
      </w:r>
      <w:bookmarkEnd w:id="4"/>
    </w:p>
    <w:p w:rsidR="001B044A" w:rsidRDefault="000A0BA3" w:rsidP="001B04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Atualmente não se aplica remuneração variável na Agência</w:t>
      </w:r>
      <w:r w:rsidR="001B044A">
        <w:rPr>
          <w:rFonts w:ascii="Times New Roman" w:hAnsi="Times New Roman" w:cs="Times New Roman"/>
          <w:sz w:val="24"/>
          <w:szCs w:val="24"/>
        </w:rPr>
        <w:t>.</w:t>
      </w:r>
    </w:p>
    <w:p w:rsidR="001B044A" w:rsidRPr="001B044A" w:rsidRDefault="001B044A" w:rsidP="001B044A">
      <w:pPr>
        <w:pStyle w:val="Ttulo2"/>
        <w:spacing w:line="360" w:lineRule="auto"/>
        <w:jc w:val="both"/>
        <w:rPr>
          <w:rFonts w:ascii="Times New Roman" w:hAnsi="Times New Roman" w:cs="Times New Roman"/>
        </w:rPr>
      </w:pPr>
      <w:bookmarkStart w:id="5" w:name="_Toc381280039"/>
      <w:r w:rsidRPr="001B044A">
        <w:rPr>
          <w:rFonts w:ascii="Times New Roman" w:hAnsi="Times New Roman" w:cs="Times New Roman"/>
        </w:rPr>
        <w:t>Remuneração fixa</w:t>
      </w:r>
      <w:bookmarkEnd w:id="5"/>
    </w:p>
    <w:p w:rsidR="001B044A" w:rsidRDefault="001B044A" w:rsidP="001B04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A0BA3">
        <w:rPr>
          <w:rFonts w:ascii="Times New Roman" w:hAnsi="Times New Roman" w:cs="Times New Roman"/>
          <w:sz w:val="24"/>
          <w:szCs w:val="24"/>
        </w:rPr>
        <w:t xml:space="preserve"> remuneração fixa </w:t>
      </w:r>
      <w:r w:rsidR="008773AA">
        <w:rPr>
          <w:rFonts w:ascii="Times New Roman" w:hAnsi="Times New Roman" w:cs="Times New Roman"/>
          <w:sz w:val="24"/>
          <w:szCs w:val="24"/>
        </w:rPr>
        <w:t xml:space="preserve">mensal </w:t>
      </w:r>
      <w:r w:rsidR="000A0BA3"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z w:val="24"/>
          <w:szCs w:val="24"/>
        </w:rPr>
        <w:t xml:space="preserve"> Diretores é composta pelo salário e verba de representação</w:t>
      </w:r>
      <w:r w:rsidR="004401DD">
        <w:rPr>
          <w:rFonts w:ascii="Times New Roman" w:hAnsi="Times New Roman" w:cs="Times New Roman"/>
          <w:sz w:val="24"/>
          <w:szCs w:val="24"/>
        </w:rPr>
        <w:t xml:space="preserve">, de natureza remuneratória, definidos para tais cargos e aprovados em </w:t>
      </w:r>
      <w:proofErr w:type="spellStart"/>
      <w:r w:rsidR="004401DD">
        <w:rPr>
          <w:rFonts w:ascii="Times New Roman" w:hAnsi="Times New Roman" w:cs="Times New Roman"/>
          <w:sz w:val="24"/>
          <w:szCs w:val="24"/>
        </w:rPr>
        <w:t>Assembléia</w:t>
      </w:r>
      <w:proofErr w:type="spellEnd"/>
      <w:r w:rsidR="004401DD">
        <w:rPr>
          <w:rFonts w:ascii="Times New Roman" w:hAnsi="Times New Roman" w:cs="Times New Roman"/>
          <w:sz w:val="24"/>
          <w:szCs w:val="24"/>
        </w:rPr>
        <w:t xml:space="preserve"> Geral. A remuneração </w:t>
      </w:r>
      <w:r>
        <w:rPr>
          <w:rFonts w:ascii="Times New Roman" w:hAnsi="Times New Roman" w:cs="Times New Roman"/>
          <w:sz w:val="24"/>
          <w:szCs w:val="24"/>
        </w:rPr>
        <w:t xml:space="preserve">dos membros do Conselho de Administração é paga através de </w:t>
      </w:r>
      <w:r>
        <w:rPr>
          <w:rFonts w:ascii="Times New Roman" w:hAnsi="Times New Roman" w:cs="Times New Roman"/>
          <w:i/>
          <w:sz w:val="24"/>
          <w:szCs w:val="24"/>
        </w:rPr>
        <w:t>jetons</w:t>
      </w:r>
      <w:r>
        <w:rPr>
          <w:rFonts w:ascii="Times New Roman" w:hAnsi="Times New Roman" w:cs="Times New Roman"/>
          <w:sz w:val="24"/>
          <w:szCs w:val="24"/>
        </w:rPr>
        <w:t xml:space="preserve"> por participação em reuniões, onde o valor do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jeton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01DD">
        <w:rPr>
          <w:rFonts w:ascii="Times New Roman" w:hAnsi="Times New Roman" w:cs="Times New Roman"/>
          <w:sz w:val="24"/>
          <w:szCs w:val="24"/>
        </w:rPr>
        <w:t xml:space="preserve">também </w:t>
      </w:r>
      <w:r>
        <w:rPr>
          <w:rFonts w:ascii="Times New Roman" w:hAnsi="Times New Roman" w:cs="Times New Roman"/>
          <w:sz w:val="24"/>
          <w:szCs w:val="24"/>
        </w:rPr>
        <w:t xml:space="preserve">é </w:t>
      </w:r>
      <w:r w:rsidR="004401DD">
        <w:rPr>
          <w:rFonts w:ascii="Times New Roman" w:hAnsi="Times New Roman" w:cs="Times New Roman"/>
          <w:sz w:val="24"/>
          <w:szCs w:val="24"/>
        </w:rPr>
        <w:t>aprovado</w:t>
      </w:r>
      <w:r>
        <w:rPr>
          <w:rFonts w:ascii="Times New Roman" w:hAnsi="Times New Roman" w:cs="Times New Roman"/>
          <w:sz w:val="24"/>
          <w:szCs w:val="24"/>
        </w:rPr>
        <w:t xml:space="preserve"> em Assembleia Geral.</w:t>
      </w:r>
    </w:p>
    <w:p w:rsidR="004F295D" w:rsidRDefault="004F295D" w:rsidP="001B04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Presidente e aos Diretores são calculadas e pagas também, com base nos respectivos salários, as férias e o décimo terceiro salário.</w:t>
      </w:r>
    </w:p>
    <w:p w:rsidR="000A0BA3" w:rsidRDefault="001B044A" w:rsidP="001B04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sermos uma instituição de economia mista, a remuneração do Presidente e dos Diretores da Agência é definida pela Lei Delegada vigente do Estado de Alagoas, além de Decretos que venham reajustar os índices definidos pela referida Lei. O reajuste acontece anualmente de acordo com o calendário do Governo do Estado e aprovado pelo Conselho de Administração</w:t>
      </w:r>
      <w:r w:rsidR="004401DD">
        <w:rPr>
          <w:rFonts w:ascii="Times New Roman" w:hAnsi="Times New Roman" w:cs="Times New Roman"/>
          <w:sz w:val="24"/>
          <w:szCs w:val="24"/>
        </w:rPr>
        <w:t xml:space="preserve"> e em Assembleia Geral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044A" w:rsidRPr="001B044A" w:rsidRDefault="001B044A" w:rsidP="001B044A">
      <w:pPr>
        <w:pStyle w:val="Ttulo2"/>
        <w:spacing w:line="360" w:lineRule="auto"/>
        <w:jc w:val="both"/>
        <w:rPr>
          <w:rFonts w:ascii="Times New Roman" w:hAnsi="Times New Roman" w:cs="Times New Roman"/>
        </w:rPr>
      </w:pPr>
      <w:bookmarkStart w:id="6" w:name="_Toc381280040"/>
      <w:r w:rsidRPr="001B044A">
        <w:rPr>
          <w:rFonts w:ascii="Times New Roman" w:hAnsi="Times New Roman" w:cs="Times New Roman"/>
        </w:rPr>
        <w:t>Benefícios</w:t>
      </w:r>
      <w:bookmarkEnd w:id="6"/>
    </w:p>
    <w:p w:rsidR="00A85F29" w:rsidRDefault="001B044A" w:rsidP="001B04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5D">
        <w:rPr>
          <w:rFonts w:ascii="Times New Roman" w:hAnsi="Times New Roman" w:cs="Times New Roman"/>
          <w:sz w:val="24"/>
          <w:szCs w:val="24"/>
        </w:rPr>
        <w:t>Aos Diretores são disponibilizados telefones celulares para uso corporativo, com limite estabelecido pela Agência de Modernização da Gestão e Processos do Estado, além de automóvel para uso a serviço da Agência de Fomento de Alagoas S/A.</w:t>
      </w:r>
    </w:p>
    <w:p w:rsidR="00871792" w:rsidRDefault="008F02EC" w:rsidP="001B04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contratado S</w:t>
      </w:r>
      <w:r w:rsidR="00871792">
        <w:rPr>
          <w:rFonts w:ascii="Times New Roman" w:hAnsi="Times New Roman" w:cs="Times New Roman"/>
          <w:sz w:val="24"/>
          <w:szCs w:val="24"/>
        </w:rPr>
        <w:t>eguro de responsabilidade civil para os Diretores e membr</w:t>
      </w:r>
      <w:r>
        <w:rPr>
          <w:rFonts w:ascii="Times New Roman" w:hAnsi="Times New Roman" w:cs="Times New Roman"/>
          <w:sz w:val="24"/>
          <w:szCs w:val="24"/>
        </w:rPr>
        <w:t>os do Conselho de Administração.</w:t>
      </w:r>
    </w:p>
    <w:p w:rsidR="008F02EC" w:rsidRDefault="008F02EC" w:rsidP="001B04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Diretores é disponibilizado </w:t>
      </w:r>
      <w:proofErr w:type="spellStart"/>
      <w:r>
        <w:rPr>
          <w:rFonts w:ascii="Times New Roman" w:hAnsi="Times New Roman" w:cs="Times New Roman"/>
          <w:sz w:val="24"/>
          <w:szCs w:val="24"/>
        </w:rPr>
        <w:t>Tiket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Alimentação, com recarga mensal.</w:t>
      </w:r>
    </w:p>
    <w:p w:rsidR="008F02EC" w:rsidRDefault="008F02EC" w:rsidP="001B04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17D" w:rsidRPr="005E617D" w:rsidRDefault="005E617D" w:rsidP="00871792">
      <w:pPr>
        <w:pStyle w:val="Ttulo2"/>
        <w:spacing w:line="360" w:lineRule="auto"/>
        <w:jc w:val="both"/>
        <w:rPr>
          <w:rFonts w:ascii="Times New Roman" w:hAnsi="Times New Roman" w:cs="Times New Roman"/>
        </w:rPr>
      </w:pPr>
      <w:bookmarkStart w:id="7" w:name="_Toc381280041"/>
      <w:r w:rsidRPr="005E617D">
        <w:rPr>
          <w:rFonts w:ascii="Times New Roman" w:hAnsi="Times New Roman" w:cs="Times New Roman"/>
        </w:rPr>
        <w:t>Diárias, passagens e demais reem</w:t>
      </w:r>
      <w:bookmarkStart w:id="8" w:name="_GoBack"/>
      <w:bookmarkEnd w:id="8"/>
      <w:r w:rsidRPr="005E617D">
        <w:rPr>
          <w:rFonts w:ascii="Times New Roman" w:hAnsi="Times New Roman" w:cs="Times New Roman"/>
        </w:rPr>
        <w:t>bolsos</w:t>
      </w:r>
      <w:bookmarkEnd w:id="7"/>
    </w:p>
    <w:p w:rsidR="00871792" w:rsidRDefault="005E617D" w:rsidP="008717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Demais </w:t>
      </w:r>
      <w:r w:rsidR="00DB4F01">
        <w:rPr>
          <w:rFonts w:ascii="Times New Roman" w:hAnsi="Times New Roman" w:cs="Times New Roman"/>
          <w:sz w:val="24"/>
          <w:szCs w:val="24"/>
        </w:rPr>
        <w:t xml:space="preserve">valores recebidos através </w:t>
      </w:r>
      <w:r w:rsidR="00DB4F01" w:rsidRPr="002B0779">
        <w:rPr>
          <w:rFonts w:ascii="Times New Roman" w:hAnsi="Times New Roman" w:cs="Times New Roman"/>
          <w:sz w:val="24"/>
          <w:szCs w:val="24"/>
        </w:rPr>
        <w:t>de</w:t>
      </w:r>
      <w:r w:rsidR="00DB4F01">
        <w:rPr>
          <w:rFonts w:ascii="Times New Roman" w:hAnsi="Times New Roman" w:cs="Times New Roman"/>
          <w:sz w:val="24"/>
          <w:szCs w:val="24"/>
        </w:rPr>
        <w:t xml:space="preserve"> pagamento de diárias, passagens, adiantamentos, entre outros reembolsos, estão</w:t>
      </w:r>
      <w:r>
        <w:rPr>
          <w:rFonts w:ascii="Times New Roman" w:hAnsi="Times New Roman" w:cs="Times New Roman"/>
          <w:sz w:val="24"/>
          <w:szCs w:val="24"/>
        </w:rPr>
        <w:t xml:space="preserve"> de acordo com o estabelecido em </w:t>
      </w:r>
      <w:r w:rsidR="00871792">
        <w:rPr>
          <w:rFonts w:ascii="Times New Roman" w:hAnsi="Times New Roman" w:cs="Times New Roman"/>
          <w:sz w:val="24"/>
          <w:szCs w:val="24"/>
        </w:rPr>
        <w:t>decretos estaduais específicos e cumprindo a formalização comprobatória exigida.</w:t>
      </w:r>
    </w:p>
    <w:p w:rsidR="00871792" w:rsidRPr="005E617D" w:rsidRDefault="00871792" w:rsidP="008717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29" w:rsidRPr="00625E7A" w:rsidRDefault="00D80FFB" w:rsidP="001B044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Maceió, 24</w:t>
      </w:r>
      <w:r w:rsidR="00871792" w:rsidRPr="00625E7A">
        <w:rPr>
          <w:rFonts w:ascii="Times New Roman" w:hAnsi="Times New Roman" w:cs="Times New Roman"/>
          <w:b/>
        </w:rPr>
        <w:t xml:space="preserve"> de </w:t>
      </w:r>
      <w:r>
        <w:rPr>
          <w:rFonts w:ascii="Times New Roman" w:hAnsi="Times New Roman" w:cs="Times New Roman"/>
          <w:b/>
        </w:rPr>
        <w:t>março</w:t>
      </w:r>
      <w:r w:rsidR="00871792" w:rsidRPr="00625E7A">
        <w:rPr>
          <w:rFonts w:ascii="Times New Roman" w:hAnsi="Times New Roman" w:cs="Times New Roman"/>
          <w:b/>
        </w:rPr>
        <w:t xml:space="preserve"> de 201</w:t>
      </w:r>
      <w:r w:rsidR="00625E7A" w:rsidRPr="00625E7A">
        <w:rPr>
          <w:rFonts w:ascii="Times New Roman" w:hAnsi="Times New Roman" w:cs="Times New Roman"/>
          <w:b/>
        </w:rPr>
        <w:t>7</w:t>
      </w:r>
      <w:r w:rsidR="00871792" w:rsidRPr="00625E7A">
        <w:rPr>
          <w:rFonts w:ascii="Times New Roman" w:hAnsi="Times New Roman" w:cs="Times New Roman"/>
          <w:b/>
        </w:rPr>
        <w:t>.</w:t>
      </w:r>
    </w:p>
    <w:p w:rsidR="00A85F29" w:rsidRPr="007921A3" w:rsidRDefault="00A85F29" w:rsidP="00A85F29">
      <w:pPr>
        <w:spacing w:after="0"/>
        <w:jc w:val="both"/>
        <w:rPr>
          <w:rFonts w:ascii="Times New Roman" w:hAnsi="Times New Roman" w:cs="Times New Roman"/>
        </w:rPr>
      </w:pPr>
    </w:p>
    <w:p w:rsidR="00A85F29" w:rsidRDefault="00A85F29" w:rsidP="00A85F29">
      <w:pPr>
        <w:spacing w:after="0"/>
        <w:jc w:val="both"/>
        <w:rPr>
          <w:rFonts w:ascii="Times New Roman" w:hAnsi="Times New Roman" w:cs="Times New Roman"/>
        </w:rPr>
      </w:pPr>
    </w:p>
    <w:p w:rsidR="00871792" w:rsidRDefault="00871792" w:rsidP="00A85F29">
      <w:pPr>
        <w:spacing w:after="0"/>
        <w:jc w:val="both"/>
        <w:rPr>
          <w:rFonts w:ascii="Times New Roman" w:hAnsi="Times New Roman" w:cs="Times New Roman"/>
        </w:rPr>
      </w:pPr>
    </w:p>
    <w:p w:rsidR="00A85F29" w:rsidRDefault="00625E7A" w:rsidP="00421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Fabiana Melo</w:t>
      </w:r>
      <w:r w:rsidR="00645E43">
        <w:rPr>
          <w:rFonts w:ascii="Times New Roman" w:hAnsi="Times New Roman" w:cs="Times New Roman"/>
          <w:sz w:val="24"/>
          <w:szCs w:val="24"/>
        </w:rPr>
        <w:t xml:space="preserve"> de Mendonça Pimentel</w:t>
      </w:r>
      <w:r w:rsidR="0042195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A5733">
        <w:rPr>
          <w:rFonts w:ascii="Times New Roman" w:hAnsi="Times New Roman" w:cs="Times New Roman"/>
          <w:sz w:val="24"/>
          <w:szCs w:val="24"/>
        </w:rPr>
        <w:t xml:space="preserve">  </w:t>
      </w:r>
      <w:r w:rsidR="00421959">
        <w:rPr>
          <w:rFonts w:ascii="Times New Roman" w:hAnsi="Times New Roman" w:cs="Times New Roman"/>
          <w:sz w:val="24"/>
          <w:szCs w:val="24"/>
        </w:rPr>
        <w:t xml:space="preserve"> Raquel Cunha de Assis Rocha </w:t>
      </w:r>
      <w:r w:rsidR="00421959" w:rsidRPr="00421959">
        <w:rPr>
          <w:rFonts w:ascii="Times New Roman" w:hAnsi="Times New Roman" w:cs="Times New Roman"/>
          <w:b/>
          <w:sz w:val="24"/>
          <w:szCs w:val="24"/>
        </w:rPr>
        <w:t>A</w:t>
      </w:r>
      <w:r w:rsidRPr="00421959">
        <w:rPr>
          <w:rFonts w:ascii="Times New Roman" w:hAnsi="Times New Roman" w:cs="Times New Roman"/>
          <w:b/>
          <w:sz w:val="24"/>
          <w:szCs w:val="24"/>
        </w:rPr>
        <w:t>ssistente</w:t>
      </w:r>
      <w:r w:rsidR="00871792" w:rsidRPr="00421959">
        <w:rPr>
          <w:rFonts w:ascii="Times New Roman" w:hAnsi="Times New Roman" w:cs="Times New Roman"/>
          <w:b/>
          <w:sz w:val="24"/>
          <w:szCs w:val="24"/>
        </w:rPr>
        <w:t xml:space="preserve"> de Recursos Humanos</w:t>
      </w:r>
      <w:r w:rsidR="00421959" w:rsidRPr="00421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95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2A5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95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1959" w:rsidRPr="00625E7A">
        <w:rPr>
          <w:rFonts w:ascii="Times New Roman" w:hAnsi="Times New Roman" w:cs="Times New Roman"/>
          <w:b/>
          <w:sz w:val="24"/>
          <w:szCs w:val="24"/>
        </w:rPr>
        <w:t>Gerente de Compliance</w:t>
      </w:r>
    </w:p>
    <w:p w:rsidR="00871792" w:rsidRDefault="00871792" w:rsidP="00A85F2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871792" w:rsidRDefault="00871792" w:rsidP="00A85F2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871792" w:rsidRDefault="00871792" w:rsidP="00A85F2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871792" w:rsidRDefault="00871792" w:rsidP="00A85F2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871792" w:rsidRDefault="00871792" w:rsidP="00A85F2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871792" w:rsidRDefault="00D80FFB" w:rsidP="00A85F2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Maurício Cominotti      </w:t>
      </w:r>
      <w:r w:rsidR="00625E7A">
        <w:rPr>
          <w:rFonts w:ascii="Times New Roman" w:hAnsi="Times New Roman" w:cs="Times New Roman"/>
          <w:sz w:val="24"/>
          <w:szCs w:val="24"/>
        </w:rPr>
        <w:tab/>
      </w:r>
      <w:r w:rsidR="00625E7A">
        <w:rPr>
          <w:rFonts w:ascii="Times New Roman" w:hAnsi="Times New Roman" w:cs="Times New Roman"/>
          <w:sz w:val="24"/>
          <w:szCs w:val="24"/>
        </w:rPr>
        <w:tab/>
      </w:r>
      <w:r w:rsidR="00871792">
        <w:rPr>
          <w:rFonts w:ascii="Times New Roman" w:hAnsi="Times New Roman" w:cs="Times New Roman"/>
          <w:sz w:val="24"/>
          <w:szCs w:val="24"/>
        </w:rPr>
        <w:tab/>
      </w:r>
      <w:r w:rsidR="00625E7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A5733">
        <w:rPr>
          <w:rFonts w:ascii="Times New Roman" w:hAnsi="Times New Roman" w:cs="Times New Roman"/>
          <w:sz w:val="24"/>
          <w:szCs w:val="24"/>
        </w:rPr>
        <w:t xml:space="preserve">      </w:t>
      </w:r>
      <w:r w:rsidR="00625E7A">
        <w:rPr>
          <w:rFonts w:ascii="Times New Roman" w:hAnsi="Times New Roman" w:cs="Times New Roman"/>
          <w:sz w:val="24"/>
          <w:szCs w:val="24"/>
        </w:rPr>
        <w:t xml:space="preserve">   Rafael de Góes Brito</w:t>
      </w:r>
    </w:p>
    <w:p w:rsidR="00871792" w:rsidRDefault="00871792" w:rsidP="00A85F29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25E7A">
        <w:rPr>
          <w:rFonts w:ascii="Times New Roman" w:hAnsi="Times New Roman" w:cs="Times New Roman"/>
          <w:b/>
          <w:sz w:val="24"/>
          <w:szCs w:val="24"/>
        </w:rPr>
        <w:t xml:space="preserve">Diretor </w:t>
      </w:r>
      <w:r w:rsidR="00D80FFB">
        <w:rPr>
          <w:rFonts w:ascii="Times New Roman" w:hAnsi="Times New Roman" w:cs="Times New Roman"/>
          <w:b/>
          <w:sz w:val="24"/>
          <w:szCs w:val="24"/>
        </w:rPr>
        <w:t>de Desenvolvimento e Projetos</w:t>
      </w:r>
      <w:r>
        <w:rPr>
          <w:rFonts w:ascii="Times New Roman" w:hAnsi="Times New Roman" w:cs="Times New Roman"/>
          <w:sz w:val="24"/>
          <w:szCs w:val="24"/>
        </w:rPr>
        <w:tab/>
      </w:r>
      <w:r w:rsidR="00625E7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5733">
        <w:rPr>
          <w:rFonts w:ascii="Times New Roman" w:hAnsi="Times New Roman" w:cs="Times New Roman"/>
          <w:sz w:val="24"/>
          <w:szCs w:val="24"/>
        </w:rPr>
        <w:t xml:space="preserve">      </w:t>
      </w:r>
      <w:r w:rsidR="00625E7A">
        <w:rPr>
          <w:rFonts w:ascii="Times New Roman" w:hAnsi="Times New Roman" w:cs="Times New Roman"/>
          <w:sz w:val="24"/>
          <w:szCs w:val="24"/>
        </w:rPr>
        <w:t xml:space="preserve">    </w:t>
      </w:r>
      <w:r w:rsidRPr="00625E7A">
        <w:rPr>
          <w:rFonts w:ascii="Times New Roman" w:hAnsi="Times New Roman" w:cs="Times New Roman"/>
          <w:b/>
          <w:sz w:val="24"/>
          <w:szCs w:val="24"/>
        </w:rPr>
        <w:t>Diretor Presidente</w:t>
      </w:r>
    </w:p>
    <w:p w:rsidR="00871792" w:rsidRPr="004F295D" w:rsidRDefault="00871792" w:rsidP="00A85F2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871792" w:rsidRPr="004F295D" w:rsidSect="00FF044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959" w:rsidRDefault="00421959" w:rsidP="00515522">
      <w:pPr>
        <w:spacing w:after="0" w:line="240" w:lineRule="auto"/>
      </w:pPr>
      <w:r>
        <w:separator/>
      </w:r>
    </w:p>
  </w:endnote>
  <w:endnote w:type="continuationSeparator" w:id="0">
    <w:p w:rsidR="00421959" w:rsidRDefault="00421959" w:rsidP="0051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036"/>
      <w:gridCol w:w="5684"/>
    </w:tblGrid>
    <w:tr w:rsidR="00421959" w:rsidRPr="003A3061" w:rsidTr="00421959">
      <w:tc>
        <w:tcPr>
          <w:tcW w:w="2376" w:type="dxa"/>
          <w:shd w:val="clear" w:color="auto" w:fill="auto"/>
        </w:tcPr>
        <w:p w:rsidR="00421959" w:rsidRPr="003A3061" w:rsidRDefault="00421959" w:rsidP="00421959">
          <w:pPr>
            <w:pStyle w:val="SemEspaamento"/>
            <w:rPr>
              <w:color w:val="365F91"/>
              <w:sz w:val="20"/>
              <w:szCs w:val="20"/>
            </w:rPr>
          </w:pPr>
          <w:r>
            <w:rPr>
              <w:noProof/>
              <w:color w:val="365F91"/>
              <w:sz w:val="20"/>
              <w:szCs w:val="20"/>
            </w:rPr>
            <w:drawing>
              <wp:inline distT="0" distB="0" distL="0" distR="0">
                <wp:extent cx="1771650" cy="733425"/>
                <wp:effectExtent l="19050" t="0" r="0" b="0"/>
                <wp:docPr id="4" name="Imagem 1" descr="nova_marca_gov_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va_marca_gov_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9474" b="94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8" w:type="dxa"/>
          <w:shd w:val="clear" w:color="auto" w:fill="auto"/>
        </w:tcPr>
        <w:p w:rsidR="00421959" w:rsidRPr="003A3061" w:rsidRDefault="00421959" w:rsidP="00FF044D">
          <w:pPr>
            <w:pStyle w:val="SemEspaamento"/>
            <w:jc w:val="center"/>
            <w:rPr>
              <w:color w:val="365F91"/>
              <w:sz w:val="20"/>
              <w:szCs w:val="20"/>
            </w:rPr>
          </w:pPr>
          <w:r w:rsidRPr="003A3061">
            <w:rPr>
              <w:color w:val="365F91"/>
              <w:sz w:val="20"/>
              <w:szCs w:val="20"/>
            </w:rPr>
            <w:t>Agência de Fomento de Alagoas S.A.</w:t>
          </w:r>
        </w:p>
        <w:p w:rsidR="00421959" w:rsidRPr="003A3061" w:rsidRDefault="00421959" w:rsidP="00FF044D">
          <w:pPr>
            <w:pStyle w:val="SemEspaamento"/>
            <w:jc w:val="center"/>
            <w:rPr>
              <w:color w:val="365F91"/>
              <w:sz w:val="16"/>
              <w:szCs w:val="16"/>
            </w:rPr>
          </w:pPr>
          <w:r w:rsidRPr="003A3061">
            <w:rPr>
              <w:color w:val="365F91"/>
              <w:sz w:val="16"/>
              <w:szCs w:val="16"/>
            </w:rPr>
            <w:t>Rua Dr. Antonio Cansanção, 465 - Ponta Verde- Maceió – Alagoas - CEP: 57.035-190</w:t>
          </w:r>
        </w:p>
        <w:p w:rsidR="00421959" w:rsidRPr="003A3061" w:rsidRDefault="00421959" w:rsidP="00FF044D">
          <w:pPr>
            <w:pStyle w:val="SemEspaamento"/>
            <w:jc w:val="center"/>
            <w:rPr>
              <w:color w:val="365F91"/>
              <w:sz w:val="16"/>
              <w:szCs w:val="16"/>
            </w:rPr>
          </w:pPr>
          <w:r w:rsidRPr="003A3061">
            <w:rPr>
              <w:color w:val="365F91"/>
              <w:sz w:val="16"/>
              <w:szCs w:val="16"/>
            </w:rPr>
            <w:t>Tel. (82)3315-3468 / Ouvidoria: 0800 095-0617</w:t>
          </w:r>
        </w:p>
        <w:p w:rsidR="00421959" w:rsidRPr="003A3061" w:rsidRDefault="00421959" w:rsidP="00FF044D">
          <w:pPr>
            <w:pStyle w:val="Rodap"/>
            <w:jc w:val="center"/>
            <w:rPr>
              <w:color w:val="365F91"/>
              <w:sz w:val="16"/>
              <w:szCs w:val="16"/>
            </w:rPr>
          </w:pPr>
          <w:r w:rsidRPr="003A3061">
            <w:rPr>
              <w:color w:val="365F91"/>
              <w:sz w:val="16"/>
              <w:szCs w:val="16"/>
            </w:rPr>
            <w:t>CNPJ 10.769.660/0001-95</w:t>
          </w:r>
        </w:p>
        <w:p w:rsidR="00421959" w:rsidRPr="003A3061" w:rsidRDefault="00421959" w:rsidP="00FF044D">
          <w:pPr>
            <w:pStyle w:val="Rodap"/>
            <w:jc w:val="center"/>
            <w:rPr>
              <w:color w:val="365F91"/>
              <w:sz w:val="16"/>
              <w:szCs w:val="16"/>
            </w:rPr>
          </w:pPr>
          <w:r w:rsidRPr="003A3061">
            <w:rPr>
              <w:color w:val="365F91"/>
              <w:sz w:val="16"/>
              <w:szCs w:val="16"/>
            </w:rPr>
            <w:t>www.desenvolve-al.com.br</w:t>
          </w:r>
        </w:p>
      </w:tc>
    </w:tr>
  </w:tbl>
  <w:p w:rsidR="00421959" w:rsidRPr="00515522" w:rsidRDefault="00421959" w:rsidP="00FF044D">
    <w:pPr>
      <w:pStyle w:val="Rodap"/>
      <w:jc w:val="right"/>
      <w:rPr>
        <w:color w:val="365F91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036"/>
      <w:gridCol w:w="5684"/>
    </w:tblGrid>
    <w:tr w:rsidR="00421959" w:rsidRPr="003A3061" w:rsidTr="00421959">
      <w:tc>
        <w:tcPr>
          <w:tcW w:w="2376" w:type="dxa"/>
          <w:shd w:val="clear" w:color="auto" w:fill="auto"/>
        </w:tcPr>
        <w:p w:rsidR="00421959" w:rsidRPr="003A3061" w:rsidRDefault="00421959" w:rsidP="00421959">
          <w:pPr>
            <w:pStyle w:val="SemEspaamento"/>
            <w:rPr>
              <w:color w:val="365F91"/>
              <w:sz w:val="20"/>
              <w:szCs w:val="20"/>
            </w:rPr>
          </w:pPr>
          <w:r>
            <w:rPr>
              <w:noProof/>
              <w:color w:val="365F91"/>
              <w:sz w:val="20"/>
              <w:szCs w:val="20"/>
            </w:rPr>
            <w:drawing>
              <wp:inline distT="0" distB="0" distL="0" distR="0">
                <wp:extent cx="1771650" cy="733425"/>
                <wp:effectExtent l="19050" t="0" r="0" b="0"/>
                <wp:docPr id="6" name="Imagem 1" descr="nova_marca_gov_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va_marca_gov_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9474" b="94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8" w:type="dxa"/>
          <w:shd w:val="clear" w:color="auto" w:fill="auto"/>
        </w:tcPr>
        <w:p w:rsidR="00421959" w:rsidRPr="003A3061" w:rsidRDefault="00421959" w:rsidP="00421959">
          <w:pPr>
            <w:pStyle w:val="SemEspaamento"/>
            <w:jc w:val="center"/>
            <w:rPr>
              <w:color w:val="365F91"/>
              <w:sz w:val="20"/>
              <w:szCs w:val="20"/>
            </w:rPr>
          </w:pPr>
          <w:r w:rsidRPr="003A3061">
            <w:rPr>
              <w:color w:val="365F91"/>
              <w:sz w:val="20"/>
              <w:szCs w:val="20"/>
            </w:rPr>
            <w:t>Agência de Fomento de Alagoas S.A.</w:t>
          </w:r>
        </w:p>
        <w:p w:rsidR="00421959" w:rsidRPr="003A3061" w:rsidRDefault="00421959" w:rsidP="00421959">
          <w:pPr>
            <w:pStyle w:val="SemEspaamento"/>
            <w:jc w:val="center"/>
            <w:rPr>
              <w:color w:val="365F91"/>
              <w:sz w:val="16"/>
              <w:szCs w:val="16"/>
            </w:rPr>
          </w:pPr>
          <w:r w:rsidRPr="003A3061">
            <w:rPr>
              <w:color w:val="365F91"/>
              <w:sz w:val="16"/>
              <w:szCs w:val="16"/>
            </w:rPr>
            <w:t>Rua Dr. Antonio Cansanção, 465 - Ponta Verde- Maceió – Alagoas - CEP: 57.035-190</w:t>
          </w:r>
        </w:p>
        <w:p w:rsidR="00421959" w:rsidRPr="003A3061" w:rsidRDefault="00421959" w:rsidP="00421959">
          <w:pPr>
            <w:pStyle w:val="SemEspaamento"/>
            <w:jc w:val="center"/>
            <w:rPr>
              <w:color w:val="365F91"/>
              <w:sz w:val="16"/>
              <w:szCs w:val="16"/>
            </w:rPr>
          </w:pPr>
          <w:r w:rsidRPr="003A3061">
            <w:rPr>
              <w:color w:val="365F91"/>
              <w:sz w:val="16"/>
              <w:szCs w:val="16"/>
            </w:rPr>
            <w:t>Tel. (82)3315-3468 / Ouvidoria: 0800 095-0617</w:t>
          </w:r>
        </w:p>
        <w:p w:rsidR="00421959" w:rsidRPr="003A3061" w:rsidRDefault="00421959" w:rsidP="00421959">
          <w:pPr>
            <w:pStyle w:val="Rodap"/>
            <w:jc w:val="center"/>
            <w:rPr>
              <w:color w:val="365F91"/>
              <w:sz w:val="16"/>
              <w:szCs w:val="16"/>
            </w:rPr>
          </w:pPr>
          <w:r w:rsidRPr="003A3061">
            <w:rPr>
              <w:color w:val="365F91"/>
              <w:sz w:val="16"/>
              <w:szCs w:val="16"/>
            </w:rPr>
            <w:t>CNPJ 10.769.660/0001-95</w:t>
          </w:r>
        </w:p>
        <w:p w:rsidR="00421959" w:rsidRPr="003A3061" w:rsidRDefault="00421959" w:rsidP="00421959">
          <w:pPr>
            <w:pStyle w:val="Rodap"/>
            <w:jc w:val="center"/>
            <w:rPr>
              <w:color w:val="365F91"/>
              <w:sz w:val="16"/>
              <w:szCs w:val="16"/>
            </w:rPr>
          </w:pPr>
          <w:r w:rsidRPr="003A3061">
            <w:rPr>
              <w:color w:val="365F91"/>
              <w:sz w:val="16"/>
              <w:szCs w:val="16"/>
            </w:rPr>
            <w:t>www.desenvolve-al.com.br</w:t>
          </w:r>
        </w:p>
      </w:tc>
    </w:tr>
  </w:tbl>
  <w:p w:rsidR="00421959" w:rsidRPr="00FF044D" w:rsidRDefault="00421959" w:rsidP="00FF044D">
    <w:pPr>
      <w:pStyle w:val="Rodap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959" w:rsidRDefault="00421959" w:rsidP="00515522">
      <w:pPr>
        <w:spacing w:after="0" w:line="240" w:lineRule="auto"/>
      </w:pPr>
      <w:r>
        <w:separator/>
      </w:r>
    </w:p>
  </w:footnote>
  <w:footnote w:type="continuationSeparator" w:id="0">
    <w:p w:rsidR="00421959" w:rsidRDefault="00421959" w:rsidP="00515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59" w:rsidRDefault="00421959" w:rsidP="00515522">
    <w:pPr>
      <w:pStyle w:val="Cabealho"/>
      <w:jc w:val="center"/>
    </w:pPr>
    <w:r w:rsidRPr="00FF044D">
      <w:rPr>
        <w:noProof/>
      </w:rPr>
      <w:drawing>
        <wp:inline distT="0" distB="0" distL="0" distR="0">
          <wp:extent cx="2571750" cy="692394"/>
          <wp:effectExtent l="19050" t="0" r="0" b="0"/>
          <wp:docPr id="8" name="Imagem 1" descr="logo_desenvolve_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senvolve_trans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4118" cy="693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1959" w:rsidRDefault="0042195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59" w:rsidRDefault="00421959" w:rsidP="00515522">
    <w:pPr>
      <w:pStyle w:val="Cabealho"/>
      <w:jc w:val="center"/>
    </w:pPr>
    <w:r w:rsidRPr="00FF044D">
      <w:rPr>
        <w:noProof/>
      </w:rPr>
      <w:drawing>
        <wp:inline distT="0" distB="0" distL="0" distR="0">
          <wp:extent cx="2571750" cy="692394"/>
          <wp:effectExtent l="19050" t="0" r="0" b="0"/>
          <wp:docPr id="5" name="Imagem 1" descr="logo_desenvolve_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senvolve_trans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4118" cy="693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1959" w:rsidRDefault="0042195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5522"/>
    <w:rsid w:val="00084B82"/>
    <w:rsid w:val="000A0BA3"/>
    <w:rsid w:val="001A0DB7"/>
    <w:rsid w:val="001B044A"/>
    <w:rsid w:val="001D13FE"/>
    <w:rsid w:val="002A5733"/>
    <w:rsid w:val="002B0779"/>
    <w:rsid w:val="002C3CB3"/>
    <w:rsid w:val="002F7ABA"/>
    <w:rsid w:val="003F46D7"/>
    <w:rsid w:val="00421959"/>
    <w:rsid w:val="004401DD"/>
    <w:rsid w:val="004900B3"/>
    <w:rsid w:val="004E7174"/>
    <w:rsid w:val="004F295D"/>
    <w:rsid w:val="00515522"/>
    <w:rsid w:val="0053662C"/>
    <w:rsid w:val="00571171"/>
    <w:rsid w:val="0059562E"/>
    <w:rsid w:val="00595D02"/>
    <w:rsid w:val="005D76C3"/>
    <w:rsid w:val="005E617D"/>
    <w:rsid w:val="00625E7A"/>
    <w:rsid w:val="00645E43"/>
    <w:rsid w:val="00651F53"/>
    <w:rsid w:val="00673DFE"/>
    <w:rsid w:val="006815B8"/>
    <w:rsid w:val="006B5F92"/>
    <w:rsid w:val="006D5BE4"/>
    <w:rsid w:val="007579FB"/>
    <w:rsid w:val="007921A3"/>
    <w:rsid w:val="0081303B"/>
    <w:rsid w:val="0086024D"/>
    <w:rsid w:val="00867713"/>
    <w:rsid w:val="00871792"/>
    <w:rsid w:val="008773AA"/>
    <w:rsid w:val="008D2E9E"/>
    <w:rsid w:val="008F02EC"/>
    <w:rsid w:val="00941CC1"/>
    <w:rsid w:val="00A13B32"/>
    <w:rsid w:val="00A15688"/>
    <w:rsid w:val="00A85F29"/>
    <w:rsid w:val="00AC21DA"/>
    <w:rsid w:val="00B94E5D"/>
    <w:rsid w:val="00BD0506"/>
    <w:rsid w:val="00C678CF"/>
    <w:rsid w:val="00C975F4"/>
    <w:rsid w:val="00CF414A"/>
    <w:rsid w:val="00D14F17"/>
    <w:rsid w:val="00D80FFB"/>
    <w:rsid w:val="00DB4F01"/>
    <w:rsid w:val="00E12274"/>
    <w:rsid w:val="00E8741E"/>
    <w:rsid w:val="00EB08C9"/>
    <w:rsid w:val="00F65FC4"/>
    <w:rsid w:val="00F81599"/>
    <w:rsid w:val="00F95544"/>
    <w:rsid w:val="00FB09C3"/>
    <w:rsid w:val="00FB7B77"/>
    <w:rsid w:val="00FF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9FB"/>
  </w:style>
  <w:style w:type="paragraph" w:styleId="Ttulo1">
    <w:name w:val="heading 1"/>
    <w:basedOn w:val="Normal"/>
    <w:next w:val="Normal"/>
    <w:link w:val="Ttulo1Char"/>
    <w:uiPriority w:val="9"/>
    <w:qFormat/>
    <w:rsid w:val="005956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F46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515522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51552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52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15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5522"/>
  </w:style>
  <w:style w:type="paragraph" w:styleId="Rodap">
    <w:name w:val="footer"/>
    <w:basedOn w:val="Normal"/>
    <w:link w:val="RodapChar"/>
    <w:uiPriority w:val="99"/>
    <w:unhideWhenUsed/>
    <w:rsid w:val="00515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5522"/>
  </w:style>
  <w:style w:type="character" w:styleId="Hyperlink">
    <w:name w:val="Hyperlink"/>
    <w:basedOn w:val="Fontepargpadro"/>
    <w:uiPriority w:val="99"/>
    <w:unhideWhenUsed/>
    <w:rsid w:val="00515522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95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9562E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7921A3"/>
    <w:pPr>
      <w:tabs>
        <w:tab w:val="right" w:leader="dot" w:pos="8494"/>
      </w:tabs>
      <w:spacing w:after="100" w:line="360" w:lineRule="auto"/>
    </w:pPr>
  </w:style>
  <w:style w:type="character" w:customStyle="1" w:styleId="Ttulo2Char">
    <w:name w:val="Título 2 Char"/>
    <w:basedOn w:val="Fontepargpadro"/>
    <w:link w:val="Ttulo2"/>
    <w:uiPriority w:val="9"/>
    <w:rsid w:val="003F46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mrio2">
    <w:name w:val="toc 2"/>
    <w:basedOn w:val="Normal"/>
    <w:next w:val="Normal"/>
    <w:autoRedefine/>
    <w:uiPriority w:val="39"/>
    <w:unhideWhenUsed/>
    <w:rsid w:val="003F46D7"/>
    <w:pPr>
      <w:spacing w:after="100"/>
      <w:ind w:left="220"/>
    </w:pPr>
  </w:style>
  <w:style w:type="table" w:styleId="Tabelacomgrade">
    <w:name w:val="Table Grid"/>
    <w:basedOn w:val="Tabelanormal"/>
    <w:uiPriority w:val="59"/>
    <w:rsid w:val="00860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956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F46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515522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51552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52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15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5522"/>
  </w:style>
  <w:style w:type="paragraph" w:styleId="Rodap">
    <w:name w:val="footer"/>
    <w:basedOn w:val="Normal"/>
    <w:link w:val="RodapChar"/>
    <w:uiPriority w:val="99"/>
    <w:unhideWhenUsed/>
    <w:rsid w:val="00515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5522"/>
  </w:style>
  <w:style w:type="character" w:styleId="Hyperlink">
    <w:name w:val="Hyperlink"/>
    <w:basedOn w:val="Fontepargpadro"/>
    <w:uiPriority w:val="99"/>
    <w:unhideWhenUsed/>
    <w:rsid w:val="00515522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95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9562E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7921A3"/>
    <w:pPr>
      <w:tabs>
        <w:tab w:val="right" w:leader="dot" w:pos="8494"/>
      </w:tabs>
      <w:spacing w:after="100" w:line="360" w:lineRule="auto"/>
    </w:pPr>
  </w:style>
  <w:style w:type="character" w:customStyle="1" w:styleId="Ttulo2Char">
    <w:name w:val="Título 2 Char"/>
    <w:basedOn w:val="Fontepargpadro"/>
    <w:link w:val="Ttulo2"/>
    <w:uiPriority w:val="9"/>
    <w:rsid w:val="003F46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mrio2">
    <w:name w:val="toc 2"/>
    <w:basedOn w:val="Normal"/>
    <w:next w:val="Normal"/>
    <w:autoRedefine/>
    <w:uiPriority w:val="39"/>
    <w:unhideWhenUsed/>
    <w:rsid w:val="003F46D7"/>
    <w:pPr>
      <w:spacing w:after="100"/>
      <w:ind w:left="220"/>
    </w:pPr>
  </w:style>
  <w:style w:type="table" w:styleId="Tabelacomgrade">
    <w:name w:val="Table Grid"/>
    <w:basedOn w:val="Tabelanormal"/>
    <w:uiPriority w:val="59"/>
    <w:rsid w:val="00860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>Agência de Fomento de Alagoas S/A
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3F3150-9706-4A22-BEE0-3E7D8D9C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740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Anual de Remuneração dos Administradores</vt:lpstr>
    </vt:vector>
  </TitlesOfParts>
  <Company>Microsoft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Anual de Remuneração dos Administradores</dc:title>
  <dc:creator>wilson.watanuki</dc:creator>
  <cp:lastModifiedBy>raquel.rocha</cp:lastModifiedBy>
  <cp:revision>8</cp:revision>
  <cp:lastPrinted>2017-06-07T19:56:00Z</cp:lastPrinted>
  <dcterms:created xsi:type="dcterms:W3CDTF">2017-06-07T15:04:00Z</dcterms:created>
  <dcterms:modified xsi:type="dcterms:W3CDTF">2017-06-07T19:56:00Z</dcterms:modified>
</cp:coreProperties>
</file>